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4B" w:rsidRDefault="001F244B" w:rsidP="001F244B">
      <w:pPr>
        <w:spacing w:line="240" w:lineRule="auto"/>
      </w:pPr>
      <w:r w:rsidRPr="005E5B92">
        <w:rPr>
          <w:noProof/>
        </w:rPr>
        <w:drawing>
          <wp:inline distT="0" distB="0" distL="0" distR="0" wp14:anchorId="38D1B2B4" wp14:editId="5FC16FF7">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1F244B" w:rsidRDefault="001F244B" w:rsidP="001F244B">
      <w:r>
        <w:pict>
          <v:rect id="_x0000_i1025" style="width:0;height:1.5pt" o:hralign="center" o:hrstd="t" o:hr="t" fillcolor="#a0a0a0" stroked="f"/>
        </w:pict>
      </w:r>
    </w:p>
    <w:p w:rsidR="001F244B" w:rsidRDefault="001F244B" w:rsidP="001F244B"/>
    <w:p w:rsidR="001F244B" w:rsidRPr="00E414B8" w:rsidRDefault="001F244B" w:rsidP="001F244B">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1F244B" w:rsidRPr="00E414B8" w:rsidTr="00E00A80">
        <w:tc>
          <w:tcPr>
            <w:tcW w:w="2834"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OPCC Website Redevelopment</w:t>
            </w:r>
          </w:p>
        </w:tc>
      </w:tr>
      <w:tr w:rsidR="001F244B" w:rsidRPr="00E414B8" w:rsidTr="00E00A80">
        <w:tc>
          <w:tcPr>
            <w:tcW w:w="2834"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t>11/09/2020</w:t>
            </w:r>
          </w:p>
        </w:tc>
      </w:tr>
      <w:tr w:rsidR="001F244B" w:rsidRPr="00E414B8" w:rsidTr="00E00A80">
        <w:tc>
          <w:tcPr>
            <w:tcW w:w="2834"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1.0</w:t>
            </w:r>
          </w:p>
        </w:tc>
      </w:tr>
      <w:tr w:rsidR="001F244B" w:rsidRPr="00E414B8" w:rsidTr="00E00A80">
        <w:tc>
          <w:tcPr>
            <w:tcW w:w="2834"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t>Hannah Smith</w:t>
            </w:r>
          </w:p>
        </w:tc>
      </w:tr>
      <w:tr w:rsidR="001F244B" w:rsidRPr="00E414B8" w:rsidTr="00E00A80">
        <w:tc>
          <w:tcPr>
            <w:tcW w:w="2834"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1F244B" w:rsidRPr="00E414B8" w:rsidRDefault="001F244B" w:rsidP="00E00A80">
            <w:pPr>
              <w:widowControl w:val="0"/>
              <w:spacing w:line="240" w:lineRule="auto"/>
            </w:pPr>
            <w:r w:rsidRPr="00E414B8">
              <w:t>Draft/Approved</w:t>
            </w:r>
          </w:p>
        </w:tc>
      </w:tr>
    </w:tbl>
    <w:p w:rsidR="001F244B" w:rsidRPr="00E414B8" w:rsidRDefault="001F244B" w:rsidP="001F244B">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1F244B" w:rsidRPr="00E414B8" w:rsidTr="00E00A80">
        <w:trPr>
          <w:trHeight w:val="20"/>
        </w:trPr>
        <w:tc>
          <w:tcPr>
            <w:tcW w:w="1695" w:type="dxa"/>
            <w:shd w:val="clear" w:color="auto" w:fill="EFEFEF"/>
            <w:tcMar>
              <w:top w:w="100" w:type="dxa"/>
              <w:left w:w="100" w:type="dxa"/>
              <w:bottom w:w="100" w:type="dxa"/>
              <w:right w:w="100" w:type="dxa"/>
            </w:tcMar>
          </w:tcPr>
          <w:p w:rsidR="001F244B" w:rsidRPr="00E414B8" w:rsidRDefault="001F244B"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1F244B" w:rsidRPr="00E414B8" w:rsidRDefault="001F244B" w:rsidP="001F244B">
            <w:pPr>
              <w:spacing w:line="240" w:lineRule="auto"/>
            </w:pPr>
            <w:r w:rsidRPr="00E414B8">
              <w:t>https://clevelandpcc.co.uk/working-for-you/decisions/decision-notices/decision-</w:t>
            </w:r>
            <w:r>
              <w:t>2</w:t>
            </w:r>
            <w:r>
              <w:t>-2016</w:t>
            </w:r>
          </w:p>
        </w:tc>
      </w:tr>
    </w:tbl>
    <w:p w:rsidR="001F244B" w:rsidRPr="00E414B8" w:rsidRDefault="001F244B" w:rsidP="001F244B">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1F244B" w:rsidRPr="00E414B8" w:rsidTr="00E00A80">
        <w:trPr>
          <w:trHeight w:val="85"/>
        </w:trPr>
        <w:tc>
          <w:tcPr>
            <w:tcW w:w="1695" w:type="dxa"/>
            <w:shd w:val="clear" w:color="auto" w:fill="EFEFEF"/>
            <w:tcMar>
              <w:top w:w="100" w:type="dxa"/>
              <w:left w:w="100" w:type="dxa"/>
              <w:bottom w:w="100" w:type="dxa"/>
              <w:right w:w="100" w:type="dxa"/>
            </w:tcMar>
          </w:tcPr>
          <w:p w:rsidR="001F244B" w:rsidRPr="00E414B8" w:rsidRDefault="001F244B" w:rsidP="001F244B">
            <w:pPr>
              <w:spacing w:line="240" w:lineRule="auto"/>
            </w:pPr>
            <w:r w:rsidRPr="00E414B8">
              <w:t>Page title:</w:t>
            </w:r>
          </w:p>
        </w:tc>
        <w:tc>
          <w:tcPr>
            <w:tcW w:w="8010" w:type="dxa"/>
            <w:shd w:val="clear" w:color="auto" w:fill="auto"/>
            <w:tcMar>
              <w:top w:w="100" w:type="dxa"/>
              <w:left w:w="100" w:type="dxa"/>
              <w:bottom w:w="100" w:type="dxa"/>
              <w:right w:w="100" w:type="dxa"/>
            </w:tcMar>
          </w:tcPr>
          <w:p w:rsidR="001F244B" w:rsidRPr="00FA3BE4" w:rsidRDefault="001F244B" w:rsidP="001F244B">
            <w:pPr>
              <w:rPr>
                <w:rFonts w:ascii="Arial" w:hAnsi="Arial" w:cs="Arial"/>
                <w:bCs/>
              </w:rPr>
            </w:pPr>
            <w:r>
              <w:t xml:space="preserve">Decision </w:t>
            </w:r>
            <w:r>
              <w:t>2</w:t>
            </w:r>
            <w:r>
              <w:t xml:space="preserve">-2016: </w:t>
            </w:r>
            <w:r w:rsidRPr="001F244B">
              <w:rPr>
                <w:rFonts w:ascii="Arial" w:hAnsi="Arial" w:cs="Arial"/>
                <w:bCs/>
              </w:rPr>
              <w:t>Fina</w:t>
            </w:r>
            <w:r>
              <w:rPr>
                <w:rFonts w:ascii="Arial" w:hAnsi="Arial" w:cs="Arial"/>
                <w:bCs/>
              </w:rPr>
              <w:t xml:space="preserve">nce and Contract Update for </w:t>
            </w:r>
            <w:r w:rsidRPr="001F244B">
              <w:rPr>
                <w:rFonts w:ascii="Arial" w:hAnsi="Arial" w:cs="Arial"/>
                <w:bCs/>
              </w:rPr>
              <w:t>the Sopra Steria partnership Agreement</w:t>
            </w:r>
          </w:p>
        </w:tc>
      </w:tr>
    </w:tbl>
    <w:p w:rsidR="001F244B" w:rsidRPr="00E414B8" w:rsidRDefault="001F244B" w:rsidP="001F244B">
      <w:pPr>
        <w:spacing w:before="200"/>
      </w:pPr>
      <w:r w:rsidRPr="00E414B8">
        <w:t>Guidelines: The page introduction should answer the questions “What is it?”</w:t>
      </w:r>
    </w:p>
    <w:p w:rsidR="001F244B" w:rsidRPr="00E414B8" w:rsidRDefault="001F244B" w:rsidP="001F244B">
      <w:pPr>
        <w:widowControl w:val="0"/>
        <w:spacing w:before="100" w:line="276" w:lineRule="auto"/>
        <w:rPr>
          <w:rFonts w:ascii="Arial" w:eastAsia="Arial" w:hAnsi="Arial" w:cs="Arial"/>
          <w:i/>
        </w:rPr>
      </w:pPr>
    </w:p>
    <w:p w:rsidR="001F244B" w:rsidRPr="00E414B8" w:rsidRDefault="001F244B" w:rsidP="001F244B">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1F244B" w:rsidTr="00E00A80">
        <w:tc>
          <w:tcPr>
            <w:tcW w:w="1695" w:type="dxa"/>
            <w:shd w:val="clear" w:color="auto" w:fill="EFEFEF"/>
            <w:tcMar>
              <w:top w:w="100" w:type="dxa"/>
              <w:left w:w="100" w:type="dxa"/>
              <w:bottom w:w="100" w:type="dxa"/>
              <w:right w:w="100" w:type="dxa"/>
            </w:tcMar>
          </w:tcPr>
          <w:p w:rsidR="001F244B" w:rsidRPr="00E414B8" w:rsidRDefault="001F244B"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1F244B" w:rsidRPr="00676094" w:rsidRDefault="001F244B" w:rsidP="003E5548">
            <w:pPr>
              <w:jc w:val="both"/>
              <w:rPr>
                <w:rFonts w:ascii="Arial" w:hAnsi="Arial" w:cs="Arial"/>
                <w:bCs/>
              </w:rPr>
            </w:pPr>
            <w:r>
              <w:rPr>
                <w:rFonts w:ascii="Arial" w:hAnsi="Arial" w:cs="Arial"/>
                <w:bCs/>
              </w:rPr>
              <w:t>The PCC is asked to</w:t>
            </w:r>
            <w:r>
              <w:rPr>
                <w:rFonts w:ascii="Arial" w:hAnsi="Arial" w:cs="Arial"/>
                <w:bCs/>
              </w:rPr>
              <w:t xml:space="preserve"> </w:t>
            </w:r>
            <w:r w:rsidR="003E5548">
              <w:rPr>
                <w:rFonts w:ascii="Arial" w:hAnsi="Arial" w:cs="Arial"/>
                <w:bCs/>
              </w:rPr>
              <w:t>approve the proposals set out within Part 2 of this Decision Record.</w:t>
            </w:r>
          </w:p>
        </w:tc>
      </w:tr>
    </w:tbl>
    <w:p w:rsidR="001F244B" w:rsidRPr="00A0472D" w:rsidRDefault="001F244B" w:rsidP="001F244B">
      <w:pPr>
        <w:spacing w:before="200"/>
      </w:pPr>
      <w:r>
        <w:t>Guidelines: The page introduction should answer the questions “What is it?” “Who is it for?” and “What does it do?” The description must include at least one real, actual noun besides the name of the product/service.</w:t>
      </w:r>
    </w:p>
    <w:p w:rsidR="001F244B" w:rsidRDefault="001F244B" w:rsidP="001F244B">
      <w:pPr>
        <w:widowControl w:val="0"/>
        <w:spacing w:line="276" w:lineRule="auto"/>
        <w:rPr>
          <w:rFonts w:ascii="Arial" w:eastAsia="Arial" w:hAnsi="Arial" w:cs="Arial"/>
        </w:rPr>
      </w:pPr>
    </w:p>
    <w:p w:rsidR="001F244B" w:rsidRDefault="001F244B" w:rsidP="001F244B">
      <w:pPr>
        <w:pStyle w:val="Heading2"/>
        <w:widowControl w:val="0"/>
        <w:spacing w:after="80" w:line="276" w:lineRule="auto"/>
      </w:pPr>
      <w:bookmarkStart w:id="2" w:name="_646pzum2k2ko" w:colFirst="0" w:colLast="0"/>
      <w:bookmarkEnd w:id="2"/>
      <w:r>
        <w:t>Page content</w:t>
      </w:r>
    </w:p>
    <w:p w:rsidR="001F244B" w:rsidRDefault="001F244B" w:rsidP="001F244B"/>
    <w:p w:rsidR="001F244B" w:rsidRDefault="001F244B" w:rsidP="001F244B">
      <w:pPr>
        <w:widowControl w:val="0"/>
        <w:spacing w:before="100" w:line="276" w:lineRule="auto"/>
      </w:pPr>
      <w:r>
        <w:t xml:space="preserve">Provide the document link below. </w:t>
      </w:r>
    </w:p>
    <w:p w:rsidR="001F244B" w:rsidRDefault="001F244B" w:rsidP="001F244B">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1F244B" w:rsidTr="00E00A80">
        <w:trPr>
          <w:trHeight w:val="434"/>
        </w:trPr>
        <w:tc>
          <w:tcPr>
            <w:tcW w:w="2565" w:type="dxa"/>
            <w:shd w:val="clear" w:color="auto" w:fill="EFEFEF"/>
            <w:tcMar>
              <w:top w:w="100" w:type="dxa"/>
              <w:left w:w="100" w:type="dxa"/>
              <w:bottom w:w="100" w:type="dxa"/>
              <w:right w:w="100" w:type="dxa"/>
            </w:tcMar>
          </w:tcPr>
          <w:p w:rsidR="001F244B" w:rsidRDefault="001F244B"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1F244B" w:rsidRDefault="003E5548" w:rsidP="00E00A80">
            <w:pPr>
              <w:widowControl w:val="0"/>
              <w:spacing w:line="240" w:lineRule="auto"/>
              <w:rPr>
                <w:i/>
              </w:rPr>
            </w:pPr>
            <w:hyperlink r:id="rId7" w:history="1">
              <w:r>
                <w:rPr>
                  <w:rStyle w:val="Hyperlink"/>
                </w:rPr>
                <w:t>https://www.cleveland.pcc.police.uk/Document-Library/Decisions/Made-By-the-PCC/2016/Ref-02-2016-Finance-and-Contract-Update-for-the-Sopra-Steria-Partnership-Agreement.pdf</w:t>
              </w:r>
            </w:hyperlink>
            <w:r>
              <w:t xml:space="preserve"> </w:t>
            </w:r>
            <w:bookmarkStart w:id="3" w:name="_GoBack"/>
            <w:bookmarkEnd w:id="3"/>
          </w:p>
        </w:tc>
      </w:tr>
    </w:tbl>
    <w:p w:rsidR="001F244B" w:rsidRDefault="001F244B" w:rsidP="001F244B">
      <w:pPr>
        <w:widowControl w:val="0"/>
        <w:spacing w:before="100" w:line="276" w:lineRule="auto"/>
      </w:pPr>
    </w:p>
    <w:p w:rsidR="001F244B" w:rsidRDefault="001F244B" w:rsidP="001F244B">
      <w:pPr>
        <w:widowControl w:val="0"/>
        <w:spacing w:before="100" w:line="276" w:lineRule="auto"/>
      </w:pPr>
      <w:r>
        <w:lastRenderedPageBreak/>
        <w:t xml:space="preserve">Alternatively, place the content in the box below following the instruction. </w:t>
      </w:r>
    </w:p>
    <w:p w:rsidR="001F244B" w:rsidRDefault="001F244B" w:rsidP="001F244B">
      <w:pPr>
        <w:widowControl w:val="0"/>
        <w:spacing w:line="276" w:lineRule="auto"/>
        <w:rPr>
          <w:rFonts w:ascii="Arial" w:eastAsia="Arial" w:hAnsi="Arial" w:cs="Arial"/>
          <w:i/>
        </w:rPr>
      </w:pPr>
    </w:p>
    <w:p w:rsidR="001F244B" w:rsidRDefault="001F244B" w:rsidP="001F244B">
      <w:r>
        <w:rPr>
          <w:b/>
        </w:rPr>
        <w:t>Guidelines</w:t>
      </w:r>
      <w:r>
        <w:t xml:space="preserve">: Indicate sub headers in bold and links by underlining. </w:t>
      </w:r>
    </w:p>
    <w:p w:rsidR="001F244B" w:rsidRDefault="001F244B" w:rsidP="001F244B"/>
    <w:p w:rsidR="001F244B" w:rsidRDefault="001F244B" w:rsidP="001F244B">
      <w:r>
        <w:t>The content itself must be unique (which makes it worthwhile for search engines to rank well) and covers a specific bit of information in a lot of depth. If a user had a question about “Data Protection”, this page would answer their query.</w:t>
      </w:r>
    </w:p>
    <w:p w:rsidR="001F244B" w:rsidRDefault="001F244B" w:rsidP="001F244B"/>
    <w:p w:rsidR="001F244B" w:rsidRDefault="001F244B" w:rsidP="001F244B">
      <w:r>
        <w:t>Default configuration allows for 1 single content page.</w:t>
      </w:r>
    </w:p>
    <w:p w:rsidR="001F244B" w:rsidRDefault="001F244B" w:rsidP="001F244B">
      <w:r>
        <w:t>Your page should contain at least 300 words in order to rank well in the search engines.</w:t>
      </w:r>
    </w:p>
    <w:p w:rsidR="001F244B" w:rsidRDefault="001F244B" w:rsidP="001F244B"/>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1F244B" w:rsidTr="00E00A80">
        <w:tc>
          <w:tcPr>
            <w:tcW w:w="9717" w:type="dxa"/>
            <w:shd w:val="clear" w:color="auto" w:fill="auto"/>
            <w:tcMar>
              <w:top w:w="100" w:type="dxa"/>
              <w:left w:w="100" w:type="dxa"/>
              <w:bottom w:w="100" w:type="dxa"/>
              <w:right w:w="100" w:type="dxa"/>
            </w:tcMar>
          </w:tcPr>
          <w:p w:rsidR="001F244B" w:rsidRDefault="001F244B" w:rsidP="00E00A80">
            <w:pPr>
              <w:pStyle w:val="Heading2"/>
              <w:widowControl w:val="0"/>
              <w:spacing w:line="240" w:lineRule="auto"/>
              <w:rPr>
                <w:sz w:val="32"/>
              </w:rPr>
            </w:pPr>
            <w:bookmarkStart w:id="4" w:name="_2m18eydufmlz" w:colFirst="0" w:colLast="0"/>
            <w:bookmarkEnd w:id="4"/>
            <w:r w:rsidRPr="00BD397E">
              <w:rPr>
                <w:sz w:val="32"/>
              </w:rPr>
              <w:lastRenderedPageBreak/>
              <w:t>Executive Summary</w:t>
            </w:r>
            <w:r>
              <w:rPr>
                <w:sz w:val="32"/>
              </w:rPr>
              <w:t>:</w:t>
            </w:r>
          </w:p>
          <w:p w:rsidR="001F244B" w:rsidRPr="004B310D" w:rsidRDefault="001F244B" w:rsidP="00E00A80"/>
          <w:p w:rsidR="003E5548" w:rsidRPr="003E5548" w:rsidRDefault="003E5548" w:rsidP="003E5548">
            <w:pPr>
              <w:rPr>
                <w:rFonts w:ascii="Arial" w:hAnsi="Arial" w:cs="Arial"/>
                <w:bCs/>
              </w:rPr>
            </w:pPr>
            <w:r w:rsidRPr="003E5548">
              <w:rPr>
                <w:rFonts w:ascii="Arial" w:hAnsi="Arial" w:cs="Arial"/>
                <w:bCs/>
              </w:rPr>
              <w:t>In June 2010 Members of the former Police Authority agreed to enter into a £175m Strategic Partnership Agreement (SPA) with Steria (now Sopra Steria) which would save the organisation £49.8m over the following 10 years. The partnership commenced on   the 1</w:t>
            </w:r>
            <w:r w:rsidRPr="003E5548">
              <w:rPr>
                <w:rFonts w:ascii="Arial" w:hAnsi="Arial" w:cs="Arial"/>
                <w:bCs/>
                <w:vertAlign w:val="superscript"/>
              </w:rPr>
              <w:t>st</w:t>
            </w:r>
            <w:r w:rsidRPr="003E5548">
              <w:rPr>
                <w:rFonts w:ascii="Arial" w:hAnsi="Arial" w:cs="Arial"/>
                <w:bCs/>
              </w:rPr>
              <w:t> July 2010 and on the 1</w:t>
            </w:r>
            <w:r w:rsidRPr="003E5548">
              <w:rPr>
                <w:rFonts w:ascii="Arial" w:hAnsi="Arial" w:cs="Arial"/>
                <w:bCs/>
                <w:vertAlign w:val="superscript"/>
              </w:rPr>
              <w:t>st</w:t>
            </w:r>
            <w:r w:rsidRPr="003E5548">
              <w:rPr>
                <w:rFonts w:ascii="Arial" w:hAnsi="Arial" w:cs="Arial"/>
                <w:bCs/>
              </w:rPr>
              <w:t> October 2010, 514 Cleveland Police staff transferred by way of TUPE, to Steria.</w:t>
            </w:r>
          </w:p>
          <w:p w:rsidR="003E5548" w:rsidRDefault="003E5548" w:rsidP="003E5548">
            <w:pPr>
              <w:rPr>
                <w:rFonts w:ascii="Arial" w:hAnsi="Arial" w:cs="Arial"/>
                <w:bCs/>
              </w:rPr>
            </w:pPr>
            <w:r w:rsidRPr="003E5548">
              <w:rPr>
                <w:rFonts w:ascii="Arial" w:hAnsi="Arial" w:cs="Arial"/>
                <w:bCs/>
              </w:rPr>
              <w:t>Further to the initial outsourcing agreement Members of the former Police Authority approved, as part of the process of meeting the Authority’s contractual arrangements in relation to the displaced staff and to generate further savings to outsource 2 further areas. These were the Crime Management Unit and the Emergency and Event Planning &amp; Risk, Resilience and Safety Unit.</w:t>
            </w:r>
          </w:p>
          <w:p w:rsidR="003E5548" w:rsidRPr="003E5548" w:rsidRDefault="003E5548" w:rsidP="003E5548">
            <w:pPr>
              <w:rPr>
                <w:rFonts w:ascii="Arial" w:hAnsi="Arial" w:cs="Arial"/>
                <w:bCs/>
              </w:rPr>
            </w:pPr>
          </w:p>
          <w:p w:rsidR="003E5548" w:rsidRDefault="003E5548" w:rsidP="003E5548">
            <w:pPr>
              <w:rPr>
                <w:rFonts w:ascii="Arial" w:hAnsi="Arial" w:cs="Arial"/>
                <w:bCs/>
              </w:rPr>
            </w:pPr>
            <w:r w:rsidRPr="003E5548">
              <w:rPr>
                <w:rFonts w:ascii="Arial" w:hAnsi="Arial" w:cs="Arial"/>
                <w:bCs/>
              </w:rPr>
              <w:t>Through the outsourcing of   these additional areas and other changes to the contract made at that time   the initial contract value increased by £8.1m from £175.2m   to £183.3m   for the 10 year period. The reported savings on the initial 10 year contract   also increased by £21.1m from £49.8m to £70.9m.</w:t>
            </w:r>
          </w:p>
          <w:p w:rsidR="003E5548" w:rsidRPr="003E5548" w:rsidRDefault="003E5548" w:rsidP="003E5548">
            <w:pPr>
              <w:rPr>
                <w:rFonts w:ascii="Arial" w:hAnsi="Arial" w:cs="Arial"/>
                <w:bCs/>
              </w:rPr>
            </w:pPr>
          </w:p>
          <w:p w:rsidR="003E5548" w:rsidRDefault="003E5548" w:rsidP="003E5548">
            <w:pPr>
              <w:rPr>
                <w:rFonts w:ascii="Arial" w:hAnsi="Arial" w:cs="Arial"/>
                <w:bCs/>
              </w:rPr>
            </w:pPr>
            <w:r w:rsidRPr="003E5548">
              <w:rPr>
                <w:rFonts w:ascii="Arial" w:hAnsi="Arial" w:cs="Arial"/>
                <w:bCs/>
              </w:rPr>
              <w:t>The savings of £70.9m over the 10 year period represented a saving of 27.9% against the comparable cost of providing these services in house at the time. Through the outsourcing, the organisation was able to reduce the number of Police Officers in roles that didn’t require warranted powers by 163 FTEs. Therefore while Police Officer numbers within Cleveland have reduced significantly over the last 5   years, due to reduced grant funding, this contract has enabled the reduction   of 163 FTE Police Officer posts without  impacting on any ‘front line’ posts.</w:t>
            </w:r>
          </w:p>
          <w:p w:rsidR="003E5548" w:rsidRPr="003E5548" w:rsidRDefault="003E5548" w:rsidP="003E5548">
            <w:pPr>
              <w:rPr>
                <w:rFonts w:ascii="Arial" w:hAnsi="Arial" w:cs="Arial"/>
                <w:bCs/>
              </w:rPr>
            </w:pPr>
          </w:p>
          <w:p w:rsidR="003E5548" w:rsidRDefault="003E5548" w:rsidP="003E5548">
            <w:pPr>
              <w:rPr>
                <w:rFonts w:ascii="Arial" w:hAnsi="Arial" w:cs="Arial"/>
                <w:bCs/>
              </w:rPr>
            </w:pPr>
            <w:r w:rsidRPr="003E5548">
              <w:rPr>
                <w:rFonts w:ascii="Arial" w:hAnsi="Arial" w:cs="Arial"/>
                <w:bCs/>
              </w:rPr>
              <w:t>The PCC inherited the contract   by operation of law as a result of the trans</w:t>
            </w:r>
            <w:r>
              <w:rPr>
                <w:rFonts w:ascii="Arial" w:hAnsi="Arial" w:cs="Arial"/>
                <w:bCs/>
              </w:rPr>
              <w:t xml:space="preserve">fer of rights and liabilities </w:t>
            </w:r>
            <w:r w:rsidRPr="003E5548">
              <w:rPr>
                <w:rFonts w:ascii="Arial" w:hAnsi="Arial" w:cs="Arial"/>
                <w:bCs/>
              </w:rPr>
              <w:t>from the former Police Authority in 2012.</w:t>
            </w:r>
          </w:p>
          <w:p w:rsidR="003E5548" w:rsidRPr="003E5548" w:rsidRDefault="003E5548" w:rsidP="003E5548">
            <w:pPr>
              <w:rPr>
                <w:rFonts w:ascii="Arial" w:hAnsi="Arial" w:cs="Arial"/>
                <w:bCs/>
              </w:rPr>
            </w:pPr>
          </w:p>
          <w:p w:rsidR="003E5548" w:rsidRPr="003E5548" w:rsidRDefault="003E5548" w:rsidP="003E5548">
            <w:pPr>
              <w:rPr>
                <w:rFonts w:ascii="Arial" w:hAnsi="Arial" w:cs="Arial"/>
                <w:bCs/>
              </w:rPr>
            </w:pPr>
            <w:r w:rsidRPr="003E5548">
              <w:rPr>
                <w:rFonts w:ascii="Arial" w:hAnsi="Arial" w:cs="Arial"/>
                <w:bCs/>
              </w:rPr>
              <w:t>Many things have changed since the contract was initially entered into and therefore all parties agreed that it was important to revisit the services delivered by this contract to ensure that it supported the revised structures within the Force, both now   and in the future.</w:t>
            </w:r>
          </w:p>
          <w:p w:rsidR="003E5548" w:rsidRDefault="003E5548" w:rsidP="003E5548">
            <w:pPr>
              <w:rPr>
                <w:rFonts w:ascii="Arial" w:hAnsi="Arial" w:cs="Arial"/>
                <w:bCs/>
              </w:rPr>
            </w:pPr>
            <w:r w:rsidRPr="003E5548">
              <w:rPr>
                <w:rFonts w:ascii="Arial" w:hAnsi="Arial" w:cs="Arial"/>
                <w:bCs/>
              </w:rPr>
              <w:t>The Force has accordingly made recommendations to the PCC for adjustments to the contract. The PCC may wish to request that the Force reviews the operational and public service impact of the proposed changes, once implemented in their final form.</w:t>
            </w:r>
          </w:p>
          <w:p w:rsidR="003E5548" w:rsidRPr="003E5548" w:rsidRDefault="003E5548" w:rsidP="003E5548">
            <w:pPr>
              <w:rPr>
                <w:rFonts w:ascii="Arial" w:hAnsi="Arial" w:cs="Arial"/>
                <w:bCs/>
              </w:rPr>
            </w:pPr>
          </w:p>
          <w:p w:rsidR="003E5548" w:rsidRPr="003E5548" w:rsidRDefault="003E5548" w:rsidP="003E5548">
            <w:pPr>
              <w:rPr>
                <w:rFonts w:ascii="Arial" w:hAnsi="Arial" w:cs="Arial"/>
                <w:bCs/>
              </w:rPr>
            </w:pPr>
            <w:r w:rsidRPr="003E5548">
              <w:rPr>
                <w:rFonts w:ascii="Arial" w:hAnsi="Arial" w:cs="Arial"/>
                <w:bCs/>
              </w:rPr>
              <w:t>Appended  to this Decision Record Form is Part 2, which is not published for the time being on the basis that it contains information which is commercially  confidential and subject to consultation with employee representation and is  exempt from publication by virtue of Article 2(2) Elected Local Policing Bodies   (Specified Information) Order 2011 as amended. </w:t>
            </w:r>
          </w:p>
          <w:p w:rsidR="001F244B" w:rsidRPr="00984261" w:rsidRDefault="001F244B" w:rsidP="00E00A80">
            <w:pPr>
              <w:rPr>
                <w:rFonts w:ascii="Arial" w:hAnsi="Arial" w:cs="Arial"/>
                <w:bCs/>
              </w:rPr>
            </w:pPr>
          </w:p>
          <w:p w:rsidR="001F244B" w:rsidRPr="00357108" w:rsidRDefault="003E5548" w:rsidP="00E00A80">
            <w:pPr>
              <w:spacing w:line="240" w:lineRule="auto"/>
              <w:rPr>
                <w:bCs/>
                <w:u w:val="single"/>
              </w:rPr>
            </w:pPr>
            <w:r w:rsidRPr="003E5548">
              <w:rPr>
                <w:u w:val="single"/>
              </w:rPr>
              <w:t xml:space="preserve">Decision 2-2016: </w:t>
            </w:r>
            <w:r w:rsidRPr="003E5548">
              <w:rPr>
                <w:bCs/>
                <w:u w:val="single"/>
              </w:rPr>
              <w:t>Finance and Contract Update for the Sopra Steria partnership Agreement</w:t>
            </w:r>
          </w:p>
        </w:tc>
      </w:tr>
    </w:tbl>
    <w:p w:rsidR="001F244B" w:rsidRDefault="001F244B" w:rsidP="001F244B"/>
    <w:p w:rsidR="001F244B" w:rsidRDefault="001F244B" w:rsidP="001F244B">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1F244B" w:rsidTr="00E00A80">
        <w:tc>
          <w:tcPr>
            <w:tcW w:w="1830" w:type="dxa"/>
            <w:shd w:val="clear" w:color="auto" w:fill="EFEFEF"/>
            <w:tcMar>
              <w:top w:w="100" w:type="dxa"/>
              <w:left w:w="100" w:type="dxa"/>
              <w:bottom w:w="100" w:type="dxa"/>
              <w:right w:w="100" w:type="dxa"/>
            </w:tcMar>
          </w:tcPr>
          <w:p w:rsidR="001F244B" w:rsidRDefault="001F244B"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1F244B" w:rsidRPr="00BD397E" w:rsidRDefault="001F244B" w:rsidP="00E00A80">
            <w:pPr>
              <w:widowControl w:val="0"/>
              <w:spacing w:line="240" w:lineRule="auto"/>
            </w:pPr>
            <w:r>
              <w:t xml:space="preserve">Decision   Topic: Governance </w:t>
            </w:r>
          </w:p>
        </w:tc>
      </w:tr>
    </w:tbl>
    <w:p w:rsidR="001F244B" w:rsidRDefault="001F244B" w:rsidP="001F244B">
      <w:pPr>
        <w:widowControl w:val="0"/>
        <w:spacing w:before="100" w:line="276" w:lineRule="auto"/>
        <w:rPr>
          <w:i/>
        </w:rPr>
      </w:pPr>
      <w:r>
        <w:rPr>
          <w:i/>
        </w:rPr>
        <w:t>Guidelines: The type of the document e.g. guidelines, presentation etc</w:t>
      </w:r>
    </w:p>
    <w:p w:rsidR="001F244B" w:rsidRDefault="001F244B" w:rsidP="001F244B">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1F244B" w:rsidTr="00E00A80">
        <w:tc>
          <w:tcPr>
            <w:tcW w:w="1830" w:type="dxa"/>
            <w:shd w:val="clear" w:color="auto" w:fill="EFEFEF"/>
            <w:tcMar>
              <w:top w:w="100" w:type="dxa"/>
              <w:left w:w="100" w:type="dxa"/>
              <w:bottom w:w="100" w:type="dxa"/>
              <w:right w:w="100" w:type="dxa"/>
            </w:tcMar>
          </w:tcPr>
          <w:p w:rsidR="001F244B" w:rsidRDefault="001F244B"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1F244B" w:rsidRDefault="001F244B" w:rsidP="00E00A80">
            <w:pPr>
              <w:widowControl w:val="0"/>
              <w:spacing w:line="240" w:lineRule="auto"/>
              <w:rPr>
                <w:i/>
              </w:rPr>
            </w:pPr>
            <w:r>
              <w:rPr>
                <w:i/>
              </w:rPr>
              <w:t>All</w:t>
            </w:r>
          </w:p>
        </w:tc>
      </w:tr>
    </w:tbl>
    <w:p w:rsidR="001F244B" w:rsidRDefault="001F244B" w:rsidP="001F244B">
      <w:pPr>
        <w:widowControl w:val="0"/>
        <w:spacing w:before="100" w:line="276" w:lineRule="auto"/>
        <w:rPr>
          <w:rFonts w:ascii="Arial" w:eastAsia="Arial" w:hAnsi="Arial" w:cs="Arial"/>
          <w:i/>
        </w:rPr>
      </w:pPr>
      <w:r>
        <w:rPr>
          <w:i/>
        </w:rPr>
        <w:t>Guidelines: Who is allowed to view this document e.g. staff or public</w:t>
      </w:r>
    </w:p>
    <w:p w:rsidR="001F244B" w:rsidRDefault="001F244B" w:rsidP="001F244B">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1F244B" w:rsidTr="00E00A80">
        <w:tc>
          <w:tcPr>
            <w:tcW w:w="1695" w:type="dxa"/>
            <w:shd w:val="clear" w:color="auto" w:fill="EFEFEF"/>
            <w:tcMar>
              <w:top w:w="100" w:type="dxa"/>
              <w:left w:w="100" w:type="dxa"/>
              <w:bottom w:w="100" w:type="dxa"/>
              <w:right w:w="100" w:type="dxa"/>
            </w:tcMar>
          </w:tcPr>
          <w:p w:rsidR="001F244B" w:rsidRDefault="001F244B" w:rsidP="00E00A80">
            <w:pPr>
              <w:spacing w:line="240" w:lineRule="auto"/>
            </w:pPr>
            <w:r>
              <w:t>Related resource(s):</w:t>
            </w:r>
          </w:p>
        </w:tc>
        <w:tc>
          <w:tcPr>
            <w:tcW w:w="8010" w:type="dxa"/>
            <w:shd w:val="clear" w:color="auto" w:fill="auto"/>
            <w:tcMar>
              <w:top w:w="100" w:type="dxa"/>
              <w:left w:w="100" w:type="dxa"/>
              <w:bottom w:w="100" w:type="dxa"/>
              <w:right w:w="100" w:type="dxa"/>
            </w:tcMar>
          </w:tcPr>
          <w:p w:rsidR="001F244B" w:rsidRDefault="001F244B" w:rsidP="00E00A80">
            <w:pPr>
              <w:spacing w:line="240" w:lineRule="auto"/>
              <w:rPr>
                <w:highlight w:val="yellow"/>
              </w:rPr>
            </w:pPr>
            <w:r w:rsidRPr="00BD397E">
              <w:t>Other DRFs</w:t>
            </w:r>
          </w:p>
        </w:tc>
      </w:tr>
    </w:tbl>
    <w:p w:rsidR="001F244B" w:rsidRDefault="001F244B" w:rsidP="001F244B">
      <w:pPr>
        <w:spacing w:before="200"/>
        <w:rPr>
          <w:i/>
        </w:rPr>
      </w:pPr>
      <w:r>
        <w:rPr>
          <w:i/>
        </w:rPr>
        <w:t>Guidelines: Which documents, leaflets etc (contained within the resource library) are relevant?</w:t>
      </w:r>
    </w:p>
    <w:p w:rsidR="001F244B" w:rsidRDefault="001F244B" w:rsidP="001F244B">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1F244B" w:rsidTr="00E00A80">
        <w:tc>
          <w:tcPr>
            <w:tcW w:w="1695" w:type="dxa"/>
            <w:shd w:val="clear" w:color="auto" w:fill="EFEFEF"/>
            <w:tcMar>
              <w:top w:w="100" w:type="dxa"/>
              <w:left w:w="100" w:type="dxa"/>
              <w:bottom w:w="100" w:type="dxa"/>
              <w:right w:w="100" w:type="dxa"/>
            </w:tcMar>
          </w:tcPr>
          <w:p w:rsidR="001F244B" w:rsidRDefault="001F244B" w:rsidP="00E00A80">
            <w:pPr>
              <w:spacing w:line="240" w:lineRule="auto"/>
            </w:pPr>
            <w:r>
              <w:t>SEO title:</w:t>
            </w:r>
          </w:p>
        </w:tc>
        <w:tc>
          <w:tcPr>
            <w:tcW w:w="8010" w:type="dxa"/>
            <w:shd w:val="clear" w:color="auto" w:fill="auto"/>
            <w:tcMar>
              <w:top w:w="100" w:type="dxa"/>
              <w:left w:w="100" w:type="dxa"/>
              <w:bottom w:w="100" w:type="dxa"/>
              <w:right w:w="100" w:type="dxa"/>
            </w:tcMar>
          </w:tcPr>
          <w:p w:rsidR="001F244B" w:rsidRDefault="003E5548" w:rsidP="00E00A80">
            <w:pPr>
              <w:spacing w:line="240" w:lineRule="auto"/>
              <w:rPr>
                <w:color w:val="999999"/>
              </w:rPr>
            </w:pPr>
            <w:r>
              <w:t xml:space="preserve">Decision 2-2016: </w:t>
            </w:r>
            <w:r w:rsidRPr="001F244B">
              <w:rPr>
                <w:rFonts w:ascii="Arial" w:hAnsi="Arial" w:cs="Arial"/>
                <w:bCs/>
              </w:rPr>
              <w:t>Fina</w:t>
            </w:r>
            <w:r>
              <w:rPr>
                <w:rFonts w:ascii="Arial" w:hAnsi="Arial" w:cs="Arial"/>
                <w:bCs/>
              </w:rPr>
              <w:t xml:space="preserve">nce and Contract Update for </w:t>
            </w:r>
            <w:r w:rsidRPr="001F244B">
              <w:rPr>
                <w:rFonts w:ascii="Arial" w:hAnsi="Arial" w:cs="Arial"/>
                <w:bCs/>
              </w:rPr>
              <w:t>the Sopra Steria partnership Agreement</w:t>
            </w:r>
            <w:r>
              <w:rPr>
                <w:color w:val="999999"/>
              </w:rPr>
              <w:t xml:space="preserve"> </w:t>
            </w:r>
            <w:r w:rsidR="001F244B">
              <w:rPr>
                <w:color w:val="999999"/>
              </w:rPr>
              <w:t>| Name of organisation</w:t>
            </w:r>
          </w:p>
        </w:tc>
      </w:tr>
    </w:tbl>
    <w:p w:rsidR="001F244B" w:rsidRDefault="001F244B" w:rsidP="001F244B">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1F244B" w:rsidRDefault="001F244B" w:rsidP="001F244B">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1F244B" w:rsidTr="00E00A80">
        <w:trPr>
          <w:trHeight w:val="694"/>
        </w:trPr>
        <w:tc>
          <w:tcPr>
            <w:tcW w:w="1695" w:type="dxa"/>
            <w:shd w:val="clear" w:color="auto" w:fill="EFEFEF"/>
            <w:tcMar>
              <w:top w:w="100" w:type="dxa"/>
              <w:left w:w="100" w:type="dxa"/>
              <w:bottom w:w="100" w:type="dxa"/>
              <w:right w:w="100" w:type="dxa"/>
            </w:tcMar>
          </w:tcPr>
          <w:p w:rsidR="001F244B" w:rsidRDefault="001F244B" w:rsidP="00E00A80">
            <w:pPr>
              <w:spacing w:line="240" w:lineRule="auto"/>
            </w:pPr>
            <w:r>
              <w:t>META description:</w:t>
            </w:r>
          </w:p>
        </w:tc>
        <w:tc>
          <w:tcPr>
            <w:tcW w:w="8010" w:type="dxa"/>
            <w:shd w:val="clear" w:color="auto" w:fill="auto"/>
            <w:tcMar>
              <w:top w:w="100" w:type="dxa"/>
              <w:left w:w="100" w:type="dxa"/>
              <w:bottom w:w="100" w:type="dxa"/>
              <w:right w:w="100" w:type="dxa"/>
            </w:tcMar>
          </w:tcPr>
          <w:p w:rsidR="001F244B" w:rsidRPr="00A31A58" w:rsidRDefault="003E5548" w:rsidP="00E00A80">
            <w:pPr>
              <w:jc w:val="both"/>
              <w:rPr>
                <w:rFonts w:ascii="Arial" w:hAnsi="Arial" w:cs="Arial"/>
                <w:bCs/>
              </w:rPr>
            </w:pPr>
            <w:r>
              <w:rPr>
                <w:rFonts w:ascii="Arial" w:hAnsi="Arial" w:cs="Arial"/>
                <w:bCs/>
              </w:rPr>
              <w:t>The PCC is asked to approve the proposals set out within Part 2 of this Decision Record.</w:t>
            </w:r>
          </w:p>
        </w:tc>
      </w:tr>
    </w:tbl>
    <w:p w:rsidR="001F244B" w:rsidRDefault="001F244B" w:rsidP="001F244B">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1F244B" w:rsidRDefault="001F244B" w:rsidP="001F244B"/>
    <w:p w:rsidR="00817EBB" w:rsidRDefault="00817EBB"/>
    <w:sectPr w:rsidR="00817EBB" w:rsidSect="00526F29">
      <w:headerReference w:type="even" r:id="rId8"/>
      <w:headerReference w:type="default" r:id="rId9"/>
      <w:footerReference w:type="even" r:id="rId10"/>
      <w:footerReference w:type="default" r:id="rId11"/>
      <w:headerReference w:type="first" r:id="rId12"/>
      <w:footerReference w:type="first" r:id="rId13"/>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auto"/>
    <w:pitch w:val="default"/>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04" w:rsidRDefault="003E55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3E5548"/>
  <w:p w:rsidR="00526F29" w:rsidRDefault="003E5548"/>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3E5548"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3E5548"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3E5548" w:rsidP="00F81E46">
    <w:pPr>
      <w:rPr>
        <w:sz w:val="16"/>
        <w:szCs w:val="16"/>
      </w:rPr>
    </w:pPr>
  </w:p>
  <w:p w:rsidR="008156FB" w:rsidRPr="00F81E46" w:rsidRDefault="003E5548" w:rsidP="00F81E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3E5548">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04" w:rsidRDefault="003E5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04" w:rsidRDefault="003E5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04" w:rsidRDefault="003E5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36775"/>
    <w:multiLevelType w:val="hybridMultilevel"/>
    <w:tmpl w:val="66C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9E4DB8"/>
    <w:multiLevelType w:val="hybridMultilevel"/>
    <w:tmpl w:val="9844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4B"/>
    <w:rsid w:val="001F244B"/>
    <w:rsid w:val="003E5548"/>
    <w:rsid w:val="0081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244B"/>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1F244B"/>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44B"/>
    <w:rPr>
      <w:rFonts w:ascii="PT Serif" w:eastAsia="PT Serif" w:hAnsi="PT Serif" w:cs="PT Serif"/>
      <w:b/>
      <w:sz w:val="36"/>
      <w:szCs w:val="36"/>
      <w:lang w:eastAsia="en-GB"/>
    </w:rPr>
  </w:style>
  <w:style w:type="paragraph" w:styleId="Header">
    <w:name w:val="header"/>
    <w:basedOn w:val="Normal"/>
    <w:link w:val="HeaderChar"/>
    <w:semiHidden/>
    <w:rsid w:val="001F244B"/>
    <w:pPr>
      <w:tabs>
        <w:tab w:val="center" w:pos="4153"/>
        <w:tab w:val="right" w:pos="8306"/>
      </w:tabs>
    </w:pPr>
  </w:style>
  <w:style w:type="character" w:customStyle="1" w:styleId="HeaderChar">
    <w:name w:val="Header Char"/>
    <w:basedOn w:val="DefaultParagraphFont"/>
    <w:link w:val="Header"/>
    <w:semiHidden/>
    <w:rsid w:val="001F244B"/>
    <w:rPr>
      <w:rFonts w:ascii="PT Serif" w:eastAsia="PT Serif" w:hAnsi="PT Serif" w:cs="PT Serif"/>
      <w:lang w:eastAsia="en-GB"/>
    </w:rPr>
  </w:style>
  <w:style w:type="paragraph" w:styleId="Footer">
    <w:name w:val="footer"/>
    <w:basedOn w:val="Normal"/>
    <w:link w:val="FooterChar"/>
    <w:rsid w:val="001F244B"/>
    <w:pPr>
      <w:tabs>
        <w:tab w:val="center" w:pos="4153"/>
        <w:tab w:val="right" w:pos="8306"/>
      </w:tabs>
    </w:pPr>
  </w:style>
  <w:style w:type="character" w:customStyle="1" w:styleId="FooterChar">
    <w:name w:val="Footer Char"/>
    <w:basedOn w:val="DefaultParagraphFont"/>
    <w:link w:val="Footer"/>
    <w:rsid w:val="001F244B"/>
    <w:rPr>
      <w:rFonts w:ascii="PT Serif" w:eastAsia="PT Serif" w:hAnsi="PT Serif" w:cs="PT Serif"/>
      <w:lang w:eastAsia="en-GB"/>
    </w:rPr>
  </w:style>
  <w:style w:type="character" w:styleId="PageNumber">
    <w:name w:val="page number"/>
    <w:basedOn w:val="DefaultParagraphFont"/>
    <w:rsid w:val="001F244B"/>
  </w:style>
  <w:style w:type="paragraph" w:styleId="Title">
    <w:name w:val="Title"/>
    <w:basedOn w:val="Normal"/>
    <w:next w:val="Normal"/>
    <w:link w:val="TitleChar"/>
    <w:rsid w:val="001F244B"/>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1F244B"/>
    <w:rPr>
      <w:rFonts w:ascii="Montserrat" w:eastAsia="Montserrat" w:hAnsi="Montserrat" w:cs="Montserrat"/>
      <w:sz w:val="52"/>
      <w:szCs w:val="52"/>
      <w:lang w:eastAsia="en-GB"/>
    </w:rPr>
  </w:style>
  <w:style w:type="character" w:styleId="Hyperlink">
    <w:name w:val="Hyperlink"/>
    <w:basedOn w:val="DefaultParagraphFont"/>
    <w:uiPriority w:val="99"/>
    <w:unhideWhenUsed/>
    <w:rsid w:val="001F244B"/>
    <w:rPr>
      <w:color w:val="0000FF" w:themeColor="hyperlink"/>
      <w:u w:val="single"/>
    </w:rPr>
  </w:style>
  <w:style w:type="paragraph" w:styleId="BalloonText">
    <w:name w:val="Balloon Text"/>
    <w:basedOn w:val="Normal"/>
    <w:link w:val="BalloonTextChar"/>
    <w:uiPriority w:val="99"/>
    <w:semiHidden/>
    <w:unhideWhenUsed/>
    <w:rsid w:val="001F24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4B"/>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244B"/>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1F244B"/>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244B"/>
    <w:rPr>
      <w:rFonts w:ascii="PT Serif" w:eastAsia="PT Serif" w:hAnsi="PT Serif" w:cs="PT Serif"/>
      <w:b/>
      <w:sz w:val="36"/>
      <w:szCs w:val="36"/>
      <w:lang w:eastAsia="en-GB"/>
    </w:rPr>
  </w:style>
  <w:style w:type="paragraph" w:styleId="Header">
    <w:name w:val="header"/>
    <w:basedOn w:val="Normal"/>
    <w:link w:val="HeaderChar"/>
    <w:semiHidden/>
    <w:rsid w:val="001F244B"/>
    <w:pPr>
      <w:tabs>
        <w:tab w:val="center" w:pos="4153"/>
        <w:tab w:val="right" w:pos="8306"/>
      </w:tabs>
    </w:pPr>
  </w:style>
  <w:style w:type="character" w:customStyle="1" w:styleId="HeaderChar">
    <w:name w:val="Header Char"/>
    <w:basedOn w:val="DefaultParagraphFont"/>
    <w:link w:val="Header"/>
    <w:semiHidden/>
    <w:rsid w:val="001F244B"/>
    <w:rPr>
      <w:rFonts w:ascii="PT Serif" w:eastAsia="PT Serif" w:hAnsi="PT Serif" w:cs="PT Serif"/>
      <w:lang w:eastAsia="en-GB"/>
    </w:rPr>
  </w:style>
  <w:style w:type="paragraph" w:styleId="Footer">
    <w:name w:val="footer"/>
    <w:basedOn w:val="Normal"/>
    <w:link w:val="FooterChar"/>
    <w:rsid w:val="001F244B"/>
    <w:pPr>
      <w:tabs>
        <w:tab w:val="center" w:pos="4153"/>
        <w:tab w:val="right" w:pos="8306"/>
      </w:tabs>
    </w:pPr>
  </w:style>
  <w:style w:type="character" w:customStyle="1" w:styleId="FooterChar">
    <w:name w:val="Footer Char"/>
    <w:basedOn w:val="DefaultParagraphFont"/>
    <w:link w:val="Footer"/>
    <w:rsid w:val="001F244B"/>
    <w:rPr>
      <w:rFonts w:ascii="PT Serif" w:eastAsia="PT Serif" w:hAnsi="PT Serif" w:cs="PT Serif"/>
      <w:lang w:eastAsia="en-GB"/>
    </w:rPr>
  </w:style>
  <w:style w:type="character" w:styleId="PageNumber">
    <w:name w:val="page number"/>
    <w:basedOn w:val="DefaultParagraphFont"/>
    <w:rsid w:val="001F244B"/>
  </w:style>
  <w:style w:type="paragraph" w:styleId="Title">
    <w:name w:val="Title"/>
    <w:basedOn w:val="Normal"/>
    <w:next w:val="Normal"/>
    <w:link w:val="TitleChar"/>
    <w:rsid w:val="001F244B"/>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1F244B"/>
    <w:rPr>
      <w:rFonts w:ascii="Montserrat" w:eastAsia="Montserrat" w:hAnsi="Montserrat" w:cs="Montserrat"/>
      <w:sz w:val="52"/>
      <w:szCs w:val="52"/>
      <w:lang w:eastAsia="en-GB"/>
    </w:rPr>
  </w:style>
  <w:style w:type="character" w:styleId="Hyperlink">
    <w:name w:val="Hyperlink"/>
    <w:basedOn w:val="DefaultParagraphFont"/>
    <w:uiPriority w:val="99"/>
    <w:unhideWhenUsed/>
    <w:rsid w:val="001F244B"/>
    <w:rPr>
      <w:color w:val="0000FF" w:themeColor="hyperlink"/>
      <w:u w:val="single"/>
    </w:rPr>
  </w:style>
  <w:style w:type="paragraph" w:styleId="BalloonText">
    <w:name w:val="Balloon Text"/>
    <w:basedOn w:val="Normal"/>
    <w:link w:val="BalloonTextChar"/>
    <w:uiPriority w:val="99"/>
    <w:semiHidden/>
    <w:unhideWhenUsed/>
    <w:rsid w:val="001F24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44B"/>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5472">
      <w:bodyDiv w:val="1"/>
      <w:marLeft w:val="0"/>
      <w:marRight w:val="0"/>
      <w:marTop w:val="0"/>
      <w:marBottom w:val="0"/>
      <w:divBdr>
        <w:top w:val="none" w:sz="0" w:space="0" w:color="auto"/>
        <w:left w:val="none" w:sz="0" w:space="0" w:color="auto"/>
        <w:bottom w:val="none" w:sz="0" w:space="0" w:color="auto"/>
        <w:right w:val="none" w:sz="0" w:space="0" w:color="auto"/>
      </w:divBdr>
    </w:div>
    <w:div w:id="21020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yperlink" Target="https://www.cleveland.pcc.police.uk/Document-Library/Decisions/Made-By-the-PCC/2016/Ref-02-2016-Finance-and-Contract-Update-for-the-Sopra-Steria-Partnership-Agreemen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7</TotalTime>
  <Pages>5</Pages>
  <Words>844</Words>
  <Characters>4811</Characters>
  <Application>Microsoft Office Word</Application>
  <DocSecurity>0</DocSecurity>
  <Lines>40</Lines>
  <Paragraphs>11</Paragraphs>
  <ScaleCrop>false</ScaleCrop>
  <Company>Cleveland Police</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2020-09-11T09:37:00Z</dcterms:created>
  <dcterms:modified xsi:type="dcterms:W3CDTF">2020-09-11T09:44:00Z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39a7febf-6c06-4bc8-840b-385a1edd2854</vt:lpwstr>
  </property>
  <property fmtid="{D5CDD505-2E9C-101B-9397-08002B2CF9AE}" pid="3" name="Classification">
    <vt:lpwstr>OFFICIAL</vt:lpwstr>
  </property>
</Properties>
</file>